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Приложение</w:t>
      </w:r>
    </w:p>
    <w:p w14:paraId="04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к постановлению администрации</w:t>
      </w:r>
    </w:p>
    <w:p w14:paraId="05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образования</w:t>
      </w:r>
    </w:p>
    <w:p w14:paraId="06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Ленинградский муниципальный</w:t>
      </w:r>
    </w:p>
    <w:p w14:paraId="07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округ Краснодарского края</w:t>
      </w:r>
    </w:p>
    <w:p w14:paraId="08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</w:t>
      </w:r>
      <w:r>
        <w:rPr>
          <w:rFonts w:ascii="FreeSerif" w:hAnsi="FreeSerif"/>
          <w:sz w:val="28"/>
        </w:rPr>
        <w:t>т</w:t>
      </w:r>
      <w:r>
        <w:rPr>
          <w:rFonts w:ascii="FreeSerif" w:hAnsi="FreeSerif"/>
          <w:sz w:val="28"/>
        </w:rPr>
        <w:t xml:space="preserve"> 1769 </w:t>
      </w:r>
      <w:r>
        <w:rPr>
          <w:rFonts w:ascii="FreeSerif" w:hAnsi="FreeSerif"/>
          <w:sz w:val="28"/>
        </w:rPr>
        <w:t>№ 19.11.2025</w:t>
      </w:r>
      <w:bookmarkStart w:id="1" w:name="_GoBack"/>
      <w:bookmarkEnd w:id="1"/>
    </w:p>
    <w:p w14:paraId="09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</w:p>
    <w:p w14:paraId="0A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«</w:t>
      </w:r>
      <w:r>
        <w:rPr>
          <w:rFonts w:ascii="FreeSerif" w:hAnsi="FreeSerif"/>
          <w:sz w:val="28"/>
        </w:rPr>
        <w:t>Приложение</w:t>
      </w:r>
    </w:p>
    <w:p w14:paraId="0B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</w:p>
    <w:p w14:paraId="0C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УТВЕРЖДЕН</w:t>
      </w:r>
    </w:p>
    <w:p w14:paraId="0D000000">
      <w:pPr>
        <w:widowControl w:val="0"/>
        <w:ind w:firstLine="0" w:left="5529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</w:t>
      </w:r>
      <w:r>
        <w:rPr>
          <w:rFonts w:ascii="FreeSerif" w:hAnsi="FreeSerif"/>
          <w:sz w:val="28"/>
        </w:rPr>
        <w:t>остановлени</w:t>
      </w:r>
      <w:r>
        <w:rPr>
          <w:rFonts w:ascii="FreeSerif" w:hAnsi="FreeSerif"/>
          <w:sz w:val="28"/>
        </w:rPr>
        <w:t>ем</w:t>
      </w:r>
      <w:r>
        <w:rPr>
          <w:rFonts w:ascii="FreeSerif" w:hAnsi="FreeSerif"/>
          <w:sz w:val="28"/>
        </w:rPr>
        <w:t xml:space="preserve"> администрации</w:t>
      </w:r>
    </w:p>
    <w:p w14:paraId="0E000000">
      <w:pPr>
        <w:widowControl w:val="0"/>
        <w:ind w:firstLine="0" w:left="5529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образования</w:t>
      </w:r>
    </w:p>
    <w:p w14:paraId="0F000000">
      <w:pPr>
        <w:widowControl w:val="0"/>
        <w:ind w:firstLine="0" w:left="5529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Ленинградский район</w:t>
      </w:r>
    </w:p>
    <w:p w14:paraId="10000000">
      <w:pPr>
        <w:widowControl w:val="0"/>
        <w:ind w:firstLine="0" w:left="5529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</w:t>
      </w:r>
      <w:r>
        <w:rPr>
          <w:rFonts w:ascii="FreeSerif" w:hAnsi="FreeSerif"/>
          <w:sz w:val="28"/>
        </w:rPr>
        <w:t>т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15.09.2020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г.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№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784</w:t>
      </w:r>
    </w:p>
    <w:p w14:paraId="11000000">
      <w:pPr>
        <w:widowControl w:val="0"/>
        <w:ind w:hanging="426" w:left="4962"/>
        <w:rPr>
          <w:rFonts w:ascii="Times New Roman" w:hAnsi="Times New Roman"/>
          <w:sz w:val="28"/>
        </w:rPr>
      </w:pPr>
    </w:p>
    <w:p w14:paraId="12000000">
      <w:pPr>
        <w:widowControl w:val="0"/>
        <w:ind/>
        <w:rPr>
          <w:rFonts w:ascii="Times New Roman" w:hAnsi="Times New Roman"/>
          <w:b w:val="1"/>
          <w:sz w:val="28"/>
        </w:rPr>
      </w:pPr>
    </w:p>
    <w:p w14:paraId="13000000">
      <w:pPr>
        <w:widowControl w:val="0"/>
        <w:ind/>
        <w:jc w:val="center"/>
        <w:outlineLvl w:val="1"/>
        <w:rPr>
          <w:rFonts w:ascii="Times New Roman" w:hAnsi="Times New Roman"/>
          <w:b w:val="1"/>
          <w:sz w:val="28"/>
        </w:rPr>
      </w:pPr>
      <w:bookmarkStart w:id="2" w:name="Par37"/>
      <w:bookmarkEnd w:id="2"/>
      <w:bookmarkStart w:id="3" w:name="Par45"/>
      <w:bookmarkEnd w:id="3"/>
      <w:r>
        <w:rPr>
          <w:rFonts w:ascii="Times New Roman" w:hAnsi="Times New Roman"/>
          <w:b w:val="1"/>
          <w:sz w:val="28"/>
        </w:rPr>
        <w:t>Паспорт</w:t>
      </w:r>
    </w:p>
    <w:p w14:paraId="14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</w:t>
      </w:r>
      <w:r>
        <w:rPr>
          <w:rFonts w:ascii="Times New Roman" w:hAnsi="Times New Roman"/>
          <w:b w:val="1"/>
          <w:sz w:val="28"/>
        </w:rPr>
        <w:t xml:space="preserve"> программы муниципального образования Ленинградский муниципальный округ Краснодарского края</w:t>
      </w:r>
    </w:p>
    <w:p w14:paraId="15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«П</w:t>
      </w:r>
      <w:r>
        <w:rPr>
          <w:rFonts w:ascii="Times New Roman" w:hAnsi="Times New Roman"/>
          <w:b w:val="1"/>
          <w:sz w:val="28"/>
        </w:rPr>
        <w:t>оддержка малого и среднего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предпринимательства </w:t>
      </w:r>
      <w:r>
        <w:rPr>
          <w:rFonts w:ascii="Times New Roman" w:hAnsi="Times New Roman"/>
          <w:b w:val="1"/>
          <w:sz w:val="28"/>
        </w:rPr>
        <w:t xml:space="preserve"> в </w:t>
      </w:r>
      <w:r>
        <w:rPr>
          <w:rFonts w:ascii="Times New Roman" w:hAnsi="Times New Roman"/>
          <w:b w:val="1"/>
          <w:sz w:val="28"/>
        </w:rPr>
        <w:t>муниципальном образовании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Ленинградский муниципальный округ Краснодарского края</w:t>
      </w:r>
      <w:r>
        <w:rPr>
          <w:rFonts w:ascii="Times New Roman" w:hAnsi="Times New Roman"/>
          <w:b w:val="1"/>
          <w:sz w:val="28"/>
        </w:rPr>
        <w:t>»</w:t>
      </w:r>
    </w:p>
    <w:p w14:paraId="16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(далее – муниципальная программа)</w:t>
      </w:r>
    </w:p>
    <w:p w14:paraId="17000000">
      <w:pPr>
        <w:widowControl w:val="0"/>
        <w:ind/>
        <w:jc w:val="center"/>
        <w:rPr>
          <w:rFonts w:ascii="Times New Roman" w:hAnsi="Times New Roman"/>
          <w:sz w:val="30"/>
        </w:rPr>
      </w:pPr>
    </w:p>
    <w:tbl>
      <w:tblPr>
        <w:tblStyle w:val="Style_2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681"/>
        <w:gridCol w:w="5670"/>
      </w:tblGrid>
      <w:tr>
        <w:trPr>
          <w:trHeight w:hRule="atLeast" w:val="828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8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Координатор</w:t>
            </w:r>
          </w:p>
          <w:p w14:paraId="19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муниципальной 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A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 xml:space="preserve">Отдел </w:t>
            </w:r>
            <w:r>
              <w:rPr>
                <w:rFonts w:ascii="FreeSerif" w:hAnsi="FreeSerif"/>
                <w:color w:val="000000"/>
                <w:sz w:val="28"/>
              </w:rPr>
              <w:t>экономи</w:t>
            </w:r>
            <w:r>
              <w:rPr>
                <w:rFonts w:ascii="FreeSerif" w:hAnsi="FreeSerif"/>
                <w:color w:val="000000"/>
                <w:sz w:val="28"/>
              </w:rPr>
              <w:t>ки администрации Ленинградского муниципального округа</w:t>
            </w: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B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Координаторы подпрограмм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C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Не предусмотрены</w:t>
            </w:r>
          </w:p>
          <w:p w14:paraId="1D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</w:p>
        </w:tc>
      </w:tr>
      <w:tr>
        <w:trPr>
          <w:trHeight w:hRule="atLeast" w:val="4116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E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Участники муниципальной</w:t>
            </w:r>
          </w:p>
          <w:p w14:paraId="1F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0000000">
            <w:pPr>
              <w:widowControl w:val="0"/>
              <w:ind w:firstLine="0" w:left="176"/>
              <w:jc w:val="both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Отдел</w:t>
            </w:r>
            <w:r>
              <w:rPr>
                <w:rFonts w:ascii="FreeSerif" w:hAnsi="FreeSerif"/>
                <w:color w:val="000000"/>
                <w:spacing w:val="0"/>
                <w:sz w:val="28"/>
              </w:rPr>
              <w:t> </w:t>
            </w:r>
            <w:r>
              <w:rPr>
                <w:rFonts w:ascii="FreeSerif" w:hAnsi="FreeSerif"/>
                <w:color w:val="000000"/>
                <w:sz w:val="28"/>
              </w:rPr>
              <w:t>экономики</w:t>
            </w:r>
            <w:r>
              <w:rPr>
                <w:rFonts w:ascii="FreeSerif" w:hAnsi="FreeSerif"/>
                <w:color w:val="000000"/>
                <w:spacing w:val="0"/>
                <w:sz w:val="28"/>
              </w:rPr>
              <w:t> </w:t>
            </w:r>
            <w:r>
              <w:rPr>
                <w:rFonts w:ascii="FreeSerif" w:hAnsi="FreeSerif"/>
                <w:color w:val="000000"/>
                <w:sz w:val="28"/>
              </w:rPr>
              <w:t>администрации Ленинградского муниципального округа</w:t>
            </w:r>
            <w:r>
              <w:rPr>
                <w:rFonts w:ascii="FreeSerif" w:hAnsi="FreeSerif"/>
                <w:color w:val="000000"/>
                <w:sz w:val="28"/>
              </w:rPr>
              <w:t>;</w:t>
            </w:r>
          </w:p>
          <w:p w14:paraId="21000000">
            <w:pPr>
              <w:widowControl w:val="0"/>
              <w:ind w:firstLine="0" w:left="176"/>
              <w:jc w:val="both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Отдел</w:t>
            </w:r>
            <w:r>
              <w:rPr>
                <w:rFonts w:ascii="FreeSerif" w:hAnsi="FreeSerif"/>
                <w:color w:val="000000"/>
                <w:spacing w:val="0"/>
                <w:sz w:val="28"/>
              </w:rPr>
              <w:t> </w:t>
            </w:r>
            <w:r>
              <w:rPr>
                <w:rFonts w:ascii="FreeSerif" w:hAnsi="FreeSerif"/>
                <w:color w:val="000000"/>
                <w:sz w:val="28"/>
              </w:rPr>
              <w:t>имущественных</w:t>
            </w:r>
            <w:r>
              <w:rPr>
                <w:rFonts w:ascii="FreeSerif" w:hAnsi="FreeSerif"/>
                <w:color w:val="000000"/>
                <w:spacing w:val="0"/>
                <w:sz w:val="28"/>
              </w:rPr>
              <w:t> </w:t>
            </w:r>
            <w:r>
              <w:rPr>
                <w:rFonts w:ascii="FreeSerif" w:hAnsi="FreeSerif"/>
                <w:color w:val="000000"/>
                <w:sz w:val="28"/>
              </w:rPr>
              <w:t xml:space="preserve">отношений </w:t>
            </w:r>
            <w:r>
              <w:rPr>
                <w:rFonts w:ascii="FreeSerif" w:hAnsi="FreeSerif"/>
                <w:color w:val="000000"/>
                <w:sz w:val="28"/>
              </w:rPr>
              <w:t>администрации Ленинградского муниципального о</w:t>
            </w:r>
            <w:r>
              <w:rPr>
                <w:rFonts w:ascii="FreeSerif" w:hAnsi="FreeSerif"/>
                <w:color w:val="000000"/>
                <w:sz w:val="28"/>
              </w:rPr>
              <w:t>круга;</w:t>
            </w:r>
          </w:p>
          <w:p w14:paraId="22000000">
            <w:pPr>
              <w:widowControl w:val="0"/>
              <w:ind w:firstLine="0" w:left="176" w:right="0"/>
              <w:jc w:val="both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 xml:space="preserve">Муниципальный центр поддержки предпринимательства по Ленинградскому округу в лице специалиста </w:t>
            </w:r>
            <w:r>
              <w:rPr>
                <w:rFonts w:ascii="FreeSerif" w:hAnsi="FreeSerif"/>
                <w:color w:val="000000"/>
                <w:sz w:val="28"/>
              </w:rPr>
              <w:t>муниципального казенного учреждения</w:t>
            </w:r>
            <w:r>
              <w:rPr>
                <w:rFonts w:ascii="FreeSerif" w:hAnsi="FreeSerif"/>
                <w:color w:val="000000"/>
                <w:sz w:val="28"/>
              </w:rPr>
              <w:t xml:space="preserve"> «Централизованная межотраслевая</w:t>
            </w:r>
            <w:r>
              <w:rPr>
                <w:rFonts w:ascii="FreeSerif" w:hAnsi="FreeSerif"/>
                <w:color w:val="000000"/>
                <w:spacing w:val="0"/>
                <w:sz w:val="28"/>
              </w:rPr>
              <w:t> </w:t>
            </w:r>
            <w:r>
              <w:rPr>
                <w:rFonts w:ascii="FreeSerif" w:hAnsi="FreeSerif"/>
                <w:color w:val="000000"/>
                <w:sz w:val="28"/>
              </w:rPr>
              <w:t>бухгалтерия» муниципального образования Ленинградский муниципальный округ Краснодарского края.</w:t>
            </w:r>
          </w:p>
        </w:tc>
      </w:tr>
      <w:tr>
        <w:trPr>
          <w:trHeight w:hRule="atLeast" w:val="610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3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Подпрограммы</w:t>
            </w:r>
          </w:p>
          <w:p w14:paraId="24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муниципальной программы</w:t>
            </w:r>
          </w:p>
          <w:p w14:paraId="25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6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 xml:space="preserve">Не предусмотрены </w:t>
            </w: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7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Ведомственные целевые</w:t>
            </w:r>
          </w:p>
          <w:p w14:paraId="28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Программы</w:t>
            </w:r>
          </w:p>
          <w:p w14:paraId="29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</w:p>
          <w:p w14:paraId="2A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B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Не предусмотрены</w:t>
            </w:r>
          </w:p>
          <w:p w14:paraId="2C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D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Цели муниципальной</w:t>
            </w:r>
          </w:p>
          <w:p w14:paraId="2E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F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С</w:t>
            </w:r>
            <w:r>
              <w:rPr>
                <w:rFonts w:ascii="FreeSerif" w:hAnsi="FreeSerif"/>
                <w:color w:val="000000"/>
                <w:sz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муниципальный округ Краснодарского края</w:t>
            </w:r>
          </w:p>
          <w:p w14:paraId="30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1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Задачи муниципальной</w:t>
            </w:r>
          </w:p>
          <w:p w14:paraId="32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3000000">
            <w:pPr>
              <w:ind w:firstLine="0" w:left="176"/>
              <w:jc w:val="both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Развитие инфраструктуры поддержки предпринимательства в муниципальном образовании Ленинградский муниципальный округ Краснодарского края;</w:t>
            </w:r>
          </w:p>
          <w:p w14:paraId="34000000">
            <w:pPr>
              <w:ind w:firstLine="0" w:left="176"/>
              <w:jc w:val="both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 xml:space="preserve">создание благоприятной среды для бизнеса; </w:t>
            </w:r>
          </w:p>
          <w:p w14:paraId="35000000">
            <w:pPr>
              <w:ind w:firstLine="0" w:left="176"/>
              <w:jc w:val="both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содействие участию предпринимателей муниципального образования Ленинградский муниципальный округ  Краснодарского края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в региональных программах финансовой поддержки предпринимательства; </w:t>
            </w:r>
          </w:p>
          <w:p w14:paraId="36000000">
            <w:pPr>
              <w:ind w:firstLine="0" w:left="176"/>
              <w:jc w:val="both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37000000">
            <w:pPr>
              <w:ind w:firstLine="0" w:left="176"/>
              <w:jc w:val="both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 xml:space="preserve">усиление рыночных позиций субъектов малого и среднего предпринимательства на </w:t>
            </w:r>
            <w:r>
              <w:rPr>
                <w:rFonts w:ascii="FreeSerif" w:hAnsi="FreeSerif"/>
                <w:color w:themeColor="text1" w:val="000000"/>
                <w:sz w:val="28"/>
              </w:rPr>
              <w:t>внутрирегиона</w:t>
            </w:r>
            <w:r>
              <w:rPr>
                <w:rFonts w:ascii="FreeSerif" w:hAnsi="FreeSerif"/>
                <w:color w:themeColor="text1" w:val="000000"/>
                <w:sz w:val="28"/>
              </w:rPr>
              <w:t>льном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, межмуниципальном рынках, </w:t>
            </w:r>
            <w:r>
              <w:rPr>
                <w:rFonts w:ascii="FreeSerif" w:hAnsi="FreeSerif"/>
                <w:color w:themeColor="text1" w:val="000000"/>
                <w:sz w:val="28"/>
              </w:rPr>
              <w:t>п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овышение </w:t>
            </w:r>
            <w:r>
              <w:rPr>
                <w:rFonts w:ascii="FreeSerif" w:hAnsi="FreeSerif"/>
                <w:color w:themeColor="text1" w:val="000000"/>
                <w:sz w:val="28"/>
              </w:rPr>
              <w:t>объёма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реализации товаров, работ и услуг, </w:t>
            </w:r>
            <w:r>
              <w:rPr>
                <w:rFonts w:ascii="FreeSerif" w:hAnsi="FreeSerif"/>
                <w:color w:themeColor="text1" w:val="000000"/>
                <w:sz w:val="28"/>
              </w:rPr>
              <w:t>произведённых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субъектами малого и среднего предпринимательства.</w:t>
            </w:r>
          </w:p>
          <w:p w14:paraId="38000000">
            <w:pPr>
              <w:widowControl w:val="0"/>
              <w:ind w:firstLine="0" w:left="176"/>
              <w:jc w:val="left"/>
              <w:rPr>
                <w:rFonts w:ascii="FreeSerif" w:hAnsi="FreeSerif"/>
                <w:color w:themeColor="text1"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9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 xml:space="preserve">Перечень целевых              </w:t>
            </w:r>
          </w:p>
          <w:p w14:paraId="3A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показателей муниципальной</w:t>
            </w:r>
          </w:p>
          <w:p w14:paraId="3B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C000000">
            <w:pPr>
              <w:widowControl w:val="0"/>
              <w:ind w:firstLine="0" w:left="176"/>
              <w:rPr>
                <w:rFonts w:ascii="FreeSerif" w:hAnsi="FreeSerif"/>
                <w:b w:val="1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 xml:space="preserve">Количество субъектов малого и среднего предпринимательства, </w:t>
            </w:r>
            <w:r>
              <w:rPr>
                <w:rFonts w:ascii="FreeSerif" w:hAnsi="FreeSerif"/>
                <w:color w:themeColor="text1" w:val="000000"/>
                <w:sz w:val="28"/>
                <w:highlight w:val="white"/>
              </w:rPr>
              <w:t>субъектов</w:t>
            </w:r>
            <w:r>
              <w:rPr>
                <w:rFonts w:ascii="FreeSerif" w:hAnsi="FreeSerif"/>
                <w:color w:themeColor="text1" w:val="000000"/>
                <w:sz w:val="28"/>
                <w:highlight w:val="white"/>
              </w:rPr>
              <w:t xml:space="preserve"> МСП и физических лиц, применяющих </w:t>
            </w:r>
            <w:r>
              <w:rPr>
                <w:rFonts w:ascii="FreeSerif" w:hAnsi="FreeSerif"/>
                <w:color w:themeColor="text1" w:val="000000"/>
                <w:sz w:val="28"/>
              </w:rPr>
              <w:t>специальный налоговый режим «Налог на профессиональный доход»</w:t>
            </w:r>
            <w:r>
              <w:rPr>
                <w:rFonts w:ascii="FreeSerif" w:hAnsi="FreeSerif"/>
                <w:color w:themeColor="text1" w:val="000000"/>
                <w:sz w:val="28"/>
              </w:rPr>
              <w:t>;</w:t>
            </w:r>
          </w:p>
          <w:p w14:paraId="3D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 xml:space="preserve">численность занятых в малом и среднем предпринимательстве, включая </w:t>
            </w:r>
            <w:r>
              <w:rPr>
                <w:rFonts w:ascii="FreeSerif" w:hAnsi="FreeSerif"/>
                <w:color w:themeColor="text1" w:val="000000"/>
                <w:sz w:val="28"/>
              </w:rPr>
              <w:t>применяющих специальный налоговый режим «Налог на профессиональный доход»</w:t>
            </w:r>
            <w:r>
              <w:rPr>
                <w:rFonts w:ascii="FreeSerif" w:hAnsi="FreeSerif"/>
                <w:color w:themeColor="text1" w:val="000000"/>
                <w:sz w:val="28"/>
              </w:rPr>
              <w:t>;</w:t>
            </w:r>
          </w:p>
          <w:p w14:paraId="3E000000">
            <w:pPr>
              <w:widowControl w:val="0"/>
              <w:ind w:firstLine="0" w:left="176"/>
              <w:rPr>
                <w:rFonts w:ascii="FreeSerif" w:hAnsi="FreeSerif"/>
                <w:b w:val="1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количество субъектов малого и среднего предпринимательства, получателей поддержки, включая применяющих специальный налоговый режим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«Налог на профессиональный доход», получивших консультационную поддержку в области предпринимательства;</w:t>
            </w:r>
          </w:p>
          <w:p w14:paraId="3F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количество проведенных мероприятий;</w:t>
            </w:r>
          </w:p>
          <w:p w14:paraId="40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количество субъектов малого и среднего предпринимательства</w:t>
            </w:r>
            <w:r>
              <w:rPr>
                <w:rFonts w:ascii="FreeSerif" w:hAnsi="FreeSerif"/>
                <w:color w:themeColor="text1" w:val="000000"/>
                <w:sz w:val="28"/>
              </w:rPr>
              <w:t>, получател</w:t>
            </w:r>
            <w:r>
              <w:rPr>
                <w:rFonts w:ascii="FreeSerif" w:hAnsi="FreeSerif"/>
                <w:color w:themeColor="text1" w:val="000000"/>
                <w:sz w:val="28"/>
              </w:rPr>
              <w:t>ей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поддержки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и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</w:t>
            </w:r>
            <w:r>
              <w:rPr>
                <w:rFonts w:ascii="FreeSerif" w:hAnsi="FreeSerif"/>
                <w:color w:themeColor="text1" w:val="000000"/>
                <w:sz w:val="28"/>
              </w:rPr>
              <w:t>применяющ</w:t>
            </w:r>
            <w:r>
              <w:rPr>
                <w:rFonts w:ascii="FreeSerif" w:hAnsi="FreeSerif"/>
                <w:color w:themeColor="text1" w:val="000000"/>
                <w:sz w:val="28"/>
              </w:rPr>
              <w:t>их специальный налоговый режим «Налог на профессиональный доход»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</w:t>
            </w:r>
            <w:r>
              <w:rPr>
                <w:rFonts w:ascii="FreeSerif" w:hAnsi="FreeSerif"/>
                <w:color w:themeColor="text1" w:val="000000"/>
                <w:sz w:val="28"/>
              </w:rPr>
              <w:t>и работник</w:t>
            </w:r>
            <w:r>
              <w:rPr>
                <w:rFonts w:ascii="FreeSerif" w:hAnsi="FreeSerif"/>
                <w:color w:themeColor="text1" w:val="000000"/>
                <w:sz w:val="28"/>
              </w:rPr>
              <w:t>ов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субъектов малого и среднего предпринимательства, принявших участие в мероприятиях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, включая </w:t>
            </w:r>
            <w:r>
              <w:rPr>
                <w:rFonts w:ascii="FreeSerif" w:hAnsi="FreeSerif"/>
                <w:color w:themeColor="text1" w:val="000000"/>
                <w:sz w:val="28"/>
              </w:rPr>
              <w:t>применяющих специальный налоговый режим «Налог на профессиональный доход», а также социальных предпринимателей</w:t>
            </w:r>
            <w:r>
              <w:rPr>
                <w:rFonts w:ascii="FreeSerif" w:hAnsi="FreeSerif"/>
                <w:color w:themeColor="text1" w:val="000000"/>
                <w:sz w:val="28"/>
              </w:rPr>
              <w:t>.</w:t>
            </w:r>
          </w:p>
          <w:p w14:paraId="41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2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Этапы и сроки реализации</w:t>
            </w:r>
          </w:p>
          <w:p w14:paraId="43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муниципальной программы</w:t>
            </w:r>
          </w:p>
          <w:p w14:paraId="44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5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2021-2028 г</w:t>
            </w:r>
            <w:r>
              <w:rPr>
                <w:rFonts w:ascii="FreeSerif" w:hAnsi="FreeSerif"/>
                <w:color w:themeColor="text1" w:val="000000"/>
                <w:sz w:val="28"/>
              </w:rPr>
              <w:t>оды</w:t>
            </w:r>
          </w:p>
          <w:p w14:paraId="46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этапы не предусмотрены</w:t>
            </w:r>
          </w:p>
          <w:p w14:paraId="47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8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Объемы бюджетных</w:t>
            </w:r>
          </w:p>
          <w:p w14:paraId="49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ассигнований муниципальной</w:t>
            </w:r>
          </w:p>
          <w:p w14:paraId="4A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программы</w:t>
            </w:r>
          </w:p>
          <w:p w14:paraId="4B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C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О</w:t>
            </w:r>
            <w:r>
              <w:rPr>
                <w:rFonts w:ascii="FreeSerif" w:hAnsi="FreeSerif"/>
                <w:color w:val="000000"/>
                <w:sz w:val="28"/>
              </w:rPr>
              <w:t>бъем финансирования программы составляет 1756,0</w:t>
            </w:r>
            <w:r>
              <w:rPr>
                <w:rFonts w:ascii="FreeSerif" w:hAnsi="FreeSerif"/>
                <w:color w:val="000000"/>
                <w:sz w:val="28"/>
              </w:rPr>
              <w:t xml:space="preserve"> </w:t>
            </w:r>
            <w:r>
              <w:rPr>
                <w:rFonts w:ascii="FreeSerif" w:hAnsi="FreeSerif"/>
                <w:color w:val="000000"/>
                <w:sz w:val="28"/>
              </w:rPr>
              <w:t>тыс. рублей, в том числе</w:t>
            </w:r>
            <w:r>
              <w:rPr>
                <w:rFonts w:ascii="FreeSerif" w:hAnsi="FreeSerif"/>
                <w:color w:val="000000"/>
                <w:sz w:val="28"/>
              </w:rPr>
              <w:t xml:space="preserve"> по годам</w:t>
            </w:r>
            <w:r>
              <w:rPr>
                <w:rFonts w:ascii="FreeSerif" w:hAnsi="FreeSerif"/>
                <w:color w:val="000000"/>
                <w:sz w:val="28"/>
              </w:rPr>
              <w:t>:</w:t>
            </w:r>
          </w:p>
          <w:p w14:paraId="4D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</w:p>
          <w:p w14:paraId="4E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2025 год - 439</w:t>
            </w:r>
            <w:r>
              <w:rPr>
                <w:rFonts w:ascii="FreeSerif" w:hAnsi="FreeSerif"/>
                <w:color w:val="000000"/>
                <w:sz w:val="28"/>
              </w:rPr>
              <w:t>,0 тыс. рублей</w:t>
            </w:r>
          </w:p>
          <w:p w14:paraId="4F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2026 год - 456,0</w:t>
            </w:r>
            <w:r>
              <w:rPr>
                <w:rFonts w:ascii="FreeSerif" w:hAnsi="FreeSerif"/>
                <w:color w:val="000000"/>
                <w:sz w:val="28"/>
              </w:rPr>
              <w:t xml:space="preserve"> тыс. рублей</w:t>
            </w:r>
          </w:p>
          <w:p w14:paraId="50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2027 год - 425</w:t>
            </w:r>
            <w:r>
              <w:rPr>
                <w:rFonts w:ascii="FreeSerif" w:hAnsi="FreeSerif"/>
                <w:color w:themeColor="text1" w:val="000000"/>
                <w:sz w:val="28"/>
              </w:rPr>
              <w:t>,0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тыс. рублей</w:t>
            </w:r>
          </w:p>
          <w:p w14:paraId="51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2028 год – 436,0 тыс. рублей</w:t>
            </w:r>
          </w:p>
          <w:p w14:paraId="52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</w:p>
          <w:p w14:paraId="53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в том числе</w:t>
            </w:r>
            <w:r>
              <w:rPr>
                <w:rFonts w:ascii="FreeSerif" w:hAnsi="FreeSerif"/>
                <w:color w:val="000000"/>
                <w:sz w:val="28"/>
              </w:rPr>
              <w:t xml:space="preserve"> по бюджетам:</w:t>
            </w:r>
          </w:p>
          <w:p w14:paraId="54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за счет средств федерального бюджета:</w:t>
            </w:r>
          </w:p>
          <w:p w14:paraId="55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2025 год – 0,0 тыс. рублей</w:t>
            </w:r>
          </w:p>
          <w:p w14:paraId="56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2026 год – 0,0 тыс. рублей</w:t>
            </w:r>
          </w:p>
          <w:p w14:paraId="57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2027 год – 0,0 тыс. рублей</w:t>
            </w:r>
          </w:p>
          <w:p w14:paraId="58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2028 год – 0,0 тыс. рублей</w:t>
            </w:r>
          </w:p>
          <w:p w14:paraId="59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  <w:highlight w:val="yellow"/>
              </w:rPr>
            </w:pPr>
          </w:p>
          <w:p w14:paraId="5A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за счет средств краевого бюджета:</w:t>
            </w:r>
          </w:p>
          <w:p w14:paraId="5B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2025 год – 0,0 тыс. рублей</w:t>
            </w:r>
          </w:p>
          <w:p w14:paraId="5C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2026 год – 0,0 тыс. рублей</w:t>
            </w:r>
          </w:p>
          <w:p w14:paraId="5D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2027 год – 0,0 тыс. рублей</w:t>
            </w:r>
          </w:p>
          <w:p w14:paraId="5E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2028 год – 0,0 тыс. рублей</w:t>
            </w:r>
          </w:p>
          <w:p w14:paraId="5F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  <w:highlight w:val="yellow"/>
              </w:rPr>
            </w:pPr>
          </w:p>
          <w:p w14:paraId="60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за счет средств бюджета муниципального</w:t>
            </w:r>
          </w:p>
          <w:p w14:paraId="61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образования Ленинградский округ:</w:t>
            </w:r>
          </w:p>
          <w:p w14:paraId="62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2025 год – 439</w:t>
            </w:r>
            <w:r>
              <w:rPr>
                <w:rFonts w:ascii="FreeSerif" w:hAnsi="FreeSerif"/>
                <w:color w:val="000000"/>
                <w:sz w:val="28"/>
              </w:rPr>
              <w:t>,0</w:t>
            </w:r>
            <w:r>
              <w:rPr>
                <w:rFonts w:ascii="FreeSerif" w:hAnsi="FreeSerif"/>
                <w:color w:val="000000"/>
                <w:sz w:val="28"/>
              </w:rPr>
              <w:t xml:space="preserve"> тыс. рублей</w:t>
            </w:r>
          </w:p>
          <w:p w14:paraId="63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2026 год – 456,0</w:t>
            </w:r>
            <w:r>
              <w:rPr>
                <w:rFonts w:ascii="FreeSerif" w:hAnsi="FreeSerif"/>
                <w:color w:val="000000"/>
                <w:sz w:val="28"/>
              </w:rPr>
              <w:t xml:space="preserve"> тыс. рублей</w:t>
            </w:r>
          </w:p>
          <w:p w14:paraId="64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2027 год – 425,0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тыс. рублей</w:t>
            </w:r>
          </w:p>
          <w:p w14:paraId="65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2028 год – 436,0 тыс. рублей</w:t>
            </w:r>
          </w:p>
          <w:p w14:paraId="66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</w:p>
        </w:tc>
      </w:tr>
    </w:tbl>
    <w:p w14:paraId="67000000">
      <w:pPr>
        <w:pStyle w:val="Style_3"/>
        <w:widowControl w:val="0"/>
        <w:ind w:firstLine="0" w:left="1069"/>
        <w:outlineLvl w:val="1"/>
        <w:rPr>
          <w:rFonts w:ascii="Times New Roman" w:hAnsi="Times New Roman"/>
          <w:b w:val="1"/>
          <w:sz w:val="28"/>
        </w:rPr>
      </w:pPr>
      <w:bookmarkStart w:id="4" w:name="Par119"/>
      <w:bookmarkEnd w:id="4"/>
    </w:p>
    <w:p w14:paraId="68000000">
      <w:pPr>
        <w:pStyle w:val="Style_3"/>
        <w:widowControl w:val="0"/>
        <w:numPr>
          <w:ilvl w:val="0"/>
          <w:numId w:val="1"/>
        </w:numPr>
        <w:tabs>
          <w:tab w:leader="none" w:pos="284" w:val="left"/>
        </w:tabs>
        <w:ind w:firstLine="0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Характеристика текущего состояния и прогноз развития</w:t>
      </w:r>
    </w:p>
    <w:p w14:paraId="69000000">
      <w:pPr>
        <w:pStyle w:val="Style_3"/>
        <w:widowControl w:val="0"/>
        <w:tabs>
          <w:tab w:leader="none" w:pos="284" w:val="left"/>
        </w:tabs>
        <w:ind w:firstLine="0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соответствующей сферы реализации муниципальной программы</w:t>
      </w:r>
    </w:p>
    <w:p w14:paraId="6A000000">
      <w:pPr>
        <w:widowControl w:val="0"/>
        <w:ind/>
        <w:jc w:val="center"/>
        <w:rPr>
          <w:rFonts w:ascii="Times New Roman" w:hAnsi="Times New Roman"/>
          <w:b w:val="1"/>
          <w:sz w:val="30"/>
        </w:rPr>
      </w:pPr>
    </w:p>
    <w:p w14:paraId="6B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Малый и средний бизнес является важнейшей частью экономики муниципального образования Ленинградский муниципальный округ Краснодарского края.</w:t>
      </w:r>
    </w:p>
    <w:p w14:paraId="6C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В 2024</w:t>
      </w:r>
      <w:r>
        <w:rPr>
          <w:rFonts w:ascii="FreeSerif" w:hAnsi="FreeSerif"/>
          <w:sz w:val="28"/>
        </w:rPr>
        <w:t xml:space="preserve"> году в Ленинградском муниципальном округе Краснодарского края осуществляли свою деятельность 2150</w:t>
      </w:r>
      <w:r>
        <w:rPr>
          <w:rFonts w:ascii="FreeSerif" w:hAnsi="FreeSerif"/>
          <w:sz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>
        <w:rPr>
          <w:rFonts w:ascii="FreeSerif" w:hAnsi="FreeSerif"/>
          <w:sz w:val="28"/>
        </w:rPr>
        <w:t>услуг.</w:t>
      </w:r>
    </w:p>
    <w:p w14:paraId="6D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Численность </w:t>
      </w:r>
      <w:r>
        <w:rPr>
          <w:rFonts w:ascii="FreeSerif" w:hAnsi="FreeSerif"/>
          <w:sz w:val="28"/>
        </w:rPr>
        <w:t>населения,</w:t>
      </w:r>
      <w:r>
        <w:rPr>
          <w:rFonts w:ascii="FreeSerif" w:hAnsi="FreeSerif"/>
          <w:sz w:val="28"/>
        </w:rPr>
        <w:t xml:space="preserve"> занятого в малом и среднем предпринимательстве </w:t>
      </w:r>
      <w:r>
        <w:rPr>
          <w:rFonts w:ascii="FreeSerif" w:hAnsi="FreeSerif"/>
          <w:sz w:val="28"/>
        </w:rPr>
        <w:t xml:space="preserve">в </w:t>
      </w:r>
      <w:r>
        <w:rPr>
          <w:rFonts w:ascii="FreeSerif" w:hAnsi="FreeSerif"/>
          <w:sz w:val="28"/>
        </w:rPr>
        <w:t>2024</w:t>
      </w:r>
      <w:r>
        <w:rPr>
          <w:rFonts w:ascii="FreeSerif" w:hAnsi="FreeSerif"/>
          <w:sz w:val="28"/>
        </w:rPr>
        <w:t xml:space="preserve"> году составила 9412</w:t>
      </w:r>
      <w:r>
        <w:rPr>
          <w:rFonts w:ascii="FreeSerif" w:hAnsi="FreeSerif"/>
          <w:sz w:val="28"/>
        </w:rPr>
        <w:t xml:space="preserve"> человек или 113,7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% к уровню </w:t>
      </w:r>
      <w:r>
        <w:rPr>
          <w:rFonts w:ascii="FreeSerif" w:hAnsi="FreeSerif"/>
          <w:sz w:val="28"/>
        </w:rPr>
        <w:t>2023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год</w:t>
      </w:r>
      <w:r>
        <w:rPr>
          <w:rFonts w:ascii="FreeSerif" w:hAnsi="FreeSerif"/>
          <w:sz w:val="28"/>
        </w:rPr>
        <w:t>а</w:t>
      </w:r>
      <w:r>
        <w:rPr>
          <w:rFonts w:ascii="FreeSerif" w:hAnsi="FreeSerif"/>
          <w:sz w:val="28"/>
        </w:rPr>
        <w:t>.</w:t>
      </w:r>
    </w:p>
    <w:p w14:paraId="6E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Объем инвестиций в основной капитал </w:t>
      </w:r>
      <w:r>
        <w:rPr>
          <w:rFonts w:ascii="FreeSerif" w:hAnsi="FreeSerif"/>
          <w:sz w:val="28"/>
        </w:rPr>
        <w:t xml:space="preserve">малых и средних предприятий </w:t>
      </w:r>
      <w:r>
        <w:rPr>
          <w:rFonts w:ascii="FreeSerif" w:hAnsi="FreeSerif"/>
          <w:sz w:val="28"/>
        </w:rPr>
        <w:t>составил 3108,9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млн. руб.</w:t>
      </w:r>
      <w:r>
        <w:rPr>
          <w:rFonts w:ascii="FreeSerif" w:hAnsi="FreeSerif"/>
          <w:sz w:val="28"/>
        </w:rPr>
        <w:t xml:space="preserve"> или 159</w:t>
      </w:r>
      <w:r>
        <w:rPr>
          <w:rFonts w:ascii="FreeSerif" w:hAnsi="FreeSerif"/>
          <w:sz w:val="28"/>
        </w:rPr>
        <w:t>,9</w:t>
      </w:r>
      <w:r>
        <w:rPr>
          <w:rFonts w:ascii="FreeSerif" w:hAnsi="FreeSerif"/>
          <w:sz w:val="28"/>
        </w:rPr>
        <w:t xml:space="preserve"> %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к 2023</w:t>
      </w:r>
      <w:r>
        <w:rPr>
          <w:rFonts w:ascii="FreeSerif" w:hAnsi="FreeSerif"/>
          <w:sz w:val="28"/>
        </w:rPr>
        <w:t xml:space="preserve"> году</w:t>
      </w:r>
      <w:r>
        <w:rPr>
          <w:rFonts w:ascii="FreeSerif" w:hAnsi="FreeSerif"/>
          <w:sz w:val="28"/>
        </w:rPr>
        <w:t xml:space="preserve">, наибольшая доля капитальных вложений приходится на </w:t>
      </w:r>
      <w:r>
        <w:rPr>
          <w:rFonts w:ascii="FreeSerif" w:hAnsi="FreeSerif"/>
          <w:sz w:val="28"/>
        </w:rPr>
        <w:t>отрасли промышленности, торговли и сельского хозяйства.</w:t>
      </w:r>
    </w:p>
    <w:p w14:paraId="6F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В сфере малого и среднего предпринимательства в </w:t>
      </w:r>
      <w:r>
        <w:rPr>
          <w:rFonts w:ascii="FreeSerif" w:hAnsi="FreeSerif"/>
          <w:sz w:val="28"/>
        </w:rPr>
        <w:t>Ленинградском муниципальном округе Краснодарского края еще</w:t>
      </w:r>
      <w:r>
        <w:rPr>
          <w:rFonts w:ascii="FreeSerif" w:hAnsi="FreeSerif"/>
          <w:sz w:val="28"/>
        </w:rPr>
        <w:t xml:space="preserve"> имеются нерешенные проблемы, устранение которых возможно с использованием программно-целевого метода:</w:t>
      </w:r>
    </w:p>
    <w:p w14:paraId="70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71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низкая активность бизнеса в повышении эффективности производства и управления;</w:t>
      </w:r>
    </w:p>
    <w:p w14:paraId="72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3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средний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74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75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Программа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«Поддержка малого и среднего предпринимательства в муниципальном образовании Ленинградский муниципальный округ Краснодарского края» (далее – Программа) </w:t>
      </w:r>
      <w:r>
        <w:rPr>
          <w:rFonts w:ascii="FreeSerif" w:hAnsi="FreeSerif"/>
          <w:sz w:val="28"/>
        </w:rPr>
        <w:t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муниципальный округ Краснодарского края эффективно участвовать в развитии малого и среднего предпринимательства, как одного из важнейших секторов экономики.</w:t>
      </w:r>
    </w:p>
    <w:p w14:paraId="76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Программой определены мероприятия по развитию малого и среднего предпринимательства в Ленинградском муниципальном округе Краснодарского края на 20</w:t>
      </w:r>
      <w:r>
        <w:rPr>
          <w:rFonts w:ascii="FreeSerif" w:hAnsi="FreeSerif"/>
          <w:sz w:val="28"/>
        </w:rPr>
        <w:t>25</w:t>
      </w:r>
      <w:r>
        <w:rPr>
          <w:rFonts w:ascii="FreeSerif" w:hAnsi="FreeSerif"/>
          <w:sz w:val="28"/>
        </w:rPr>
        <w:t xml:space="preserve"> - 2028</w:t>
      </w:r>
      <w:r>
        <w:rPr>
          <w:rFonts w:ascii="FreeSerif" w:hAnsi="FreeSerif"/>
          <w:sz w:val="28"/>
        </w:rPr>
        <w:t xml:space="preserve"> годы, реализация которых позволит:</w:t>
      </w:r>
    </w:p>
    <w:p w14:paraId="77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 совершенствовать систему поддержки малого и среднего предпринимательства в муниципальном образовании Ленинградский муниципальный округ Краснодарского края;</w:t>
      </w:r>
    </w:p>
    <w:p w14:paraId="78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муниципальный округ Краснодарского края;</w:t>
      </w:r>
    </w:p>
    <w:p w14:paraId="79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- обеспечить оптимальное использование финансовых ресурсов, </w:t>
      </w:r>
      <w:r>
        <w:rPr>
          <w:rFonts w:ascii="FreeSerif" w:hAnsi="FreeSerif"/>
          <w:sz w:val="28"/>
        </w:rPr>
        <w:t>выделяемых на развитие малого и среднего предпринимательства.</w:t>
      </w:r>
    </w:p>
    <w:p w14:paraId="7A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муниципальный округ Краснодарского края обеспечит повышение конкурентоспособности малого и среднего предпринимательства в Ленинградском муниципальном округе Краснодарского края,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муниципальный округ Краснодарского края и рост налоговых поступлений в бюджеты всех уровней.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Комплексное решение задач развития малого и среднего предпринимательства в Ленинградском муниципальном округе Краснодарского края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7B000000">
      <w:pPr>
        <w:rPr>
          <w:rFonts w:ascii="FreeSerif" w:hAnsi="FreeSerif"/>
          <w:sz w:val="28"/>
        </w:rPr>
      </w:pPr>
    </w:p>
    <w:p w14:paraId="7C000000">
      <w:pPr>
        <w:pStyle w:val="Style_3"/>
        <w:widowControl w:val="0"/>
        <w:numPr>
          <w:ilvl w:val="0"/>
          <w:numId w:val="1"/>
        </w:numPr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Цели, задачи и целевые показатели, сроки и этапы</w:t>
      </w:r>
    </w:p>
    <w:p w14:paraId="7D000000">
      <w:pPr>
        <w:pStyle w:val="Style_3"/>
        <w:widowControl w:val="0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реализации муниципальной программ</w:t>
      </w:r>
      <w:r>
        <w:rPr>
          <w:rFonts w:ascii="Times New Roman" w:hAnsi="Times New Roman"/>
          <w:b w:val="1"/>
          <w:sz w:val="28"/>
        </w:rPr>
        <w:t>ы</w:t>
      </w:r>
    </w:p>
    <w:p w14:paraId="7E000000">
      <w:pPr>
        <w:widowControl w:val="0"/>
        <w:ind w:firstLine="851" w:left="0"/>
        <w:jc w:val="center"/>
        <w:rPr>
          <w:rFonts w:ascii="Times New Roman" w:hAnsi="Times New Roman"/>
          <w:sz w:val="28"/>
        </w:rPr>
      </w:pPr>
    </w:p>
    <w:p w14:paraId="7F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>
        <w:rPr>
          <w:rFonts w:ascii="FreeSerif" w:hAnsi="FreeSerif"/>
          <w:sz w:val="28"/>
        </w:rPr>
        <w:t xml:space="preserve">1 </w:t>
      </w:r>
      <w:r>
        <w:rPr>
          <w:rFonts w:ascii="FreeSerif" w:hAnsi="FreeSerif"/>
          <w:sz w:val="28"/>
        </w:rPr>
        <w:t>к настоящей муниципальной программе.</w:t>
      </w:r>
    </w:p>
    <w:p w14:paraId="80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Реализация мероприятий программы рассчитана на 20</w:t>
      </w:r>
      <w:r>
        <w:rPr>
          <w:rFonts w:ascii="FreeSerif" w:hAnsi="FreeSerif"/>
          <w:sz w:val="28"/>
        </w:rPr>
        <w:t>25</w:t>
      </w:r>
      <w:r>
        <w:rPr>
          <w:rFonts w:ascii="FreeSerif" w:hAnsi="FreeSerif"/>
          <w:sz w:val="28"/>
        </w:rPr>
        <w:t xml:space="preserve"> – 2028</w:t>
      </w:r>
      <w:r>
        <w:rPr>
          <w:rFonts w:ascii="FreeSerif" w:hAnsi="FreeSerif"/>
          <w:sz w:val="28"/>
        </w:rPr>
        <w:t xml:space="preserve"> годы. </w:t>
      </w:r>
      <w:r>
        <w:rPr>
          <w:rFonts w:ascii="FreeSerif" w:hAnsi="FreeSerif"/>
          <w:sz w:val="28"/>
        </w:rPr>
        <w:t>Этапы не предусмотрены.</w:t>
      </w:r>
    </w:p>
    <w:p w14:paraId="81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При необходимости возможна корректировка</w:t>
      </w:r>
      <w:r>
        <w:rPr>
          <w:rFonts w:ascii="FreeSerif" w:hAnsi="FreeSerif"/>
          <w:sz w:val="28"/>
        </w:rPr>
        <w:t xml:space="preserve"> значений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  <w:highlight w:val="white"/>
        </w:rPr>
        <w:t xml:space="preserve">целевых показателей </w:t>
      </w:r>
      <w:r>
        <w:rPr>
          <w:rFonts w:ascii="FreeSerif" w:hAnsi="FreeSerif"/>
          <w:sz w:val="28"/>
        </w:rPr>
        <w:t>в 20</w:t>
      </w:r>
      <w:r>
        <w:rPr>
          <w:rFonts w:ascii="FreeSerif" w:hAnsi="FreeSerif"/>
          <w:sz w:val="28"/>
        </w:rPr>
        <w:t>25</w:t>
      </w:r>
      <w:r>
        <w:rPr>
          <w:rFonts w:ascii="FreeSerif" w:hAnsi="FreeSerif"/>
          <w:sz w:val="28"/>
        </w:rPr>
        <w:t xml:space="preserve"> – 2028</w:t>
      </w:r>
      <w:r>
        <w:rPr>
          <w:rFonts w:ascii="FreeSerif" w:hAnsi="FreeSerif"/>
          <w:sz w:val="28"/>
        </w:rPr>
        <w:t xml:space="preserve"> годах </w:t>
      </w:r>
      <w:r>
        <w:rPr>
          <w:rFonts w:ascii="FreeSerif" w:hAnsi="FreeSerif"/>
          <w:sz w:val="28"/>
          <w:highlight w:val="white"/>
        </w:rPr>
        <w:t>на основе данных государственного статистического наблюдения</w:t>
      </w:r>
      <w:r>
        <w:rPr>
          <w:rFonts w:ascii="FreeSerif" w:hAnsi="FreeSerif"/>
          <w:sz w:val="28"/>
          <w:highlight w:val="white"/>
        </w:rPr>
        <w:t>, а также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в зависимости от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результатов </w:t>
      </w:r>
      <w:r>
        <w:rPr>
          <w:rFonts w:ascii="FreeSerif" w:hAnsi="FreeSerif"/>
          <w:sz w:val="28"/>
        </w:rPr>
        <w:t xml:space="preserve">промежуточного </w:t>
      </w:r>
      <w:r>
        <w:rPr>
          <w:rFonts w:ascii="FreeSerif" w:hAnsi="FreeSerif"/>
          <w:sz w:val="28"/>
        </w:rPr>
        <w:t xml:space="preserve">анализа </w:t>
      </w:r>
      <w:r>
        <w:rPr>
          <w:rFonts w:ascii="FreeSerif" w:hAnsi="FreeSerif"/>
          <w:sz w:val="28"/>
        </w:rPr>
        <w:t xml:space="preserve">достижения целевых показателей </w:t>
      </w:r>
      <w:r>
        <w:rPr>
          <w:rFonts w:ascii="FreeSerif" w:hAnsi="FreeSerif"/>
          <w:sz w:val="28"/>
        </w:rPr>
        <w:t xml:space="preserve">в рамках реализации </w:t>
      </w:r>
      <w:r>
        <w:rPr>
          <w:rFonts w:ascii="FreeSerif" w:hAnsi="FreeSerif"/>
          <w:sz w:val="28"/>
        </w:rPr>
        <w:t xml:space="preserve">мероприятий </w:t>
      </w:r>
      <w:r>
        <w:rPr>
          <w:rFonts w:ascii="FreeSerif" w:hAnsi="FreeSerif"/>
          <w:sz w:val="28"/>
        </w:rPr>
        <w:t>муниципальной программы.</w:t>
      </w:r>
    </w:p>
    <w:p w14:paraId="82000000">
      <w:pPr>
        <w:widowControl w:val="0"/>
        <w:ind w:firstLine="851" w:left="0"/>
        <w:rPr>
          <w:rFonts w:ascii="Times New Roman" w:hAnsi="Times New Roman"/>
          <w:sz w:val="28"/>
        </w:rPr>
      </w:pPr>
    </w:p>
    <w:p w14:paraId="83000000">
      <w:pPr>
        <w:pStyle w:val="Style_3"/>
        <w:widowControl w:val="0"/>
        <w:numPr>
          <w:ilvl w:val="0"/>
          <w:numId w:val="1"/>
        </w:numPr>
        <w:tabs>
          <w:tab w:leader="none" w:pos="284" w:val="left"/>
          <w:tab w:leader="none" w:pos="1134" w:val="left"/>
        </w:tabs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1"/>
          <w:sz w:val="28"/>
        </w:rPr>
        <w:t xml:space="preserve">Перечень и краткое описание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мероприятий</w:t>
      </w:r>
      <w:r>
        <w:rPr>
          <w:rFonts w:ascii="Times New Roman" w:hAnsi="Times New Roman"/>
          <w:b w:val="1"/>
          <w:sz w:val="28"/>
        </w:rPr>
        <w:t xml:space="preserve"> муниципальной программы</w:t>
      </w:r>
    </w:p>
    <w:p w14:paraId="84000000">
      <w:pPr>
        <w:widowControl w:val="0"/>
        <w:ind/>
        <w:rPr>
          <w:rFonts w:ascii="Times New Roman" w:hAnsi="Times New Roman"/>
          <w:sz w:val="28"/>
        </w:rPr>
      </w:pPr>
    </w:p>
    <w:p w14:paraId="85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Перечень</w:t>
      </w:r>
      <w:r>
        <w:rPr>
          <w:rFonts w:ascii="FreeSerif" w:hAnsi="FreeSerif"/>
          <w:sz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>
        <w:rPr>
          <w:rFonts w:ascii="FreeSerif" w:hAnsi="FreeSerif"/>
          <w:sz w:val="28"/>
        </w:rPr>
        <w:t xml:space="preserve"> 2</w:t>
      </w:r>
      <w:r>
        <w:rPr>
          <w:rFonts w:ascii="FreeSerif" w:hAnsi="FreeSerif"/>
          <w:sz w:val="28"/>
        </w:rPr>
        <w:t xml:space="preserve"> к настоящей муниципальной программе.</w:t>
      </w:r>
    </w:p>
    <w:p w14:paraId="86000000">
      <w:pPr>
        <w:widowControl w:val="0"/>
        <w:tabs>
          <w:tab w:leader="none" w:pos="709" w:val="left"/>
        </w:tabs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87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При необходимости возможна корректировка </w:t>
      </w:r>
      <w:r>
        <w:rPr>
          <w:rFonts w:ascii="FreeSerif" w:hAnsi="FreeSerif"/>
          <w:sz w:val="28"/>
          <w:highlight w:val="white"/>
        </w:rPr>
        <w:t xml:space="preserve">мероприятий </w:t>
      </w:r>
      <w:r>
        <w:rPr>
          <w:rFonts w:ascii="FreeSerif" w:hAnsi="FreeSerif"/>
          <w:sz w:val="28"/>
        </w:rPr>
        <w:t>в 2025 – 2028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88000000">
      <w:pPr>
        <w:widowControl w:val="0"/>
        <w:ind/>
        <w:rPr>
          <w:rFonts w:ascii="Times New Roman" w:hAnsi="Times New Roman"/>
          <w:sz w:val="28"/>
          <w:highlight w:val="yellow"/>
        </w:rPr>
      </w:pPr>
    </w:p>
    <w:p w14:paraId="89000000">
      <w:pPr>
        <w:pStyle w:val="Style_3"/>
        <w:widowControl w:val="0"/>
        <w:numPr>
          <w:ilvl w:val="0"/>
          <w:numId w:val="1"/>
        </w:numPr>
        <w:tabs>
          <w:tab w:leader="none" w:pos="284" w:val="left"/>
        </w:tabs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Обоснование ресурсного обеспечения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8A000000">
      <w:pPr>
        <w:widowControl w:val="0"/>
        <w:ind w:firstLine="851" w:left="0"/>
        <w:rPr>
          <w:rFonts w:ascii="Times New Roman" w:hAnsi="Times New Roman"/>
          <w:sz w:val="28"/>
          <w:highlight w:val="yellow"/>
        </w:rPr>
      </w:pPr>
    </w:p>
    <w:p w14:paraId="8B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FreeSerif" w:hAnsi="FreeSerif"/>
          <w:sz w:val="28"/>
        </w:rPr>
        <w:t xml:space="preserve"> в пределах лимитов, установленных на очередной финансовый год.</w:t>
      </w:r>
    </w:p>
    <w:p w14:paraId="8C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Обоснование ресурсного обеспечения муниципальной программы представлено в приложении 3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к настоящей муниципальной программе.</w:t>
      </w:r>
    </w:p>
    <w:p w14:paraId="8D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Мероприятия, объемы и источники финансирования могут корректироваться </w:t>
      </w:r>
      <w:r>
        <w:rPr>
          <w:rFonts w:ascii="FreeSerif" w:hAnsi="FreeSerif"/>
          <w:sz w:val="28"/>
        </w:rPr>
        <w:t xml:space="preserve">в зависимости от принятых на региональном </w:t>
      </w:r>
      <w:r>
        <w:rPr>
          <w:rFonts w:ascii="FreeSerif" w:hAnsi="FreeSerif"/>
          <w:sz w:val="28"/>
        </w:rPr>
        <w:t xml:space="preserve">и муниципальном </w:t>
      </w:r>
      <w:r>
        <w:rPr>
          <w:rFonts w:ascii="FreeSerif" w:hAnsi="FreeSerif"/>
          <w:sz w:val="28"/>
        </w:rPr>
        <w:t>уровн</w:t>
      </w:r>
      <w:r>
        <w:rPr>
          <w:rFonts w:ascii="FreeSerif" w:hAnsi="FreeSerif"/>
          <w:sz w:val="28"/>
        </w:rPr>
        <w:t>ях</w:t>
      </w:r>
      <w:r>
        <w:rPr>
          <w:rFonts w:ascii="FreeSerif" w:hAnsi="FreeSerif"/>
          <w:sz w:val="28"/>
        </w:rPr>
        <w:t xml:space="preserve"> решений</w:t>
      </w:r>
      <w:r>
        <w:rPr>
          <w:rFonts w:ascii="FreeSerif" w:hAnsi="FreeSerif"/>
          <w:sz w:val="28"/>
        </w:rPr>
        <w:t xml:space="preserve"> с учетом реальных возможностей местного бюджета.</w:t>
      </w:r>
    </w:p>
    <w:p w14:paraId="8E000000">
      <w:pPr>
        <w:widowControl w:val="0"/>
        <w:ind/>
        <w:rPr>
          <w:rFonts w:ascii="Times New Roman" w:hAnsi="Times New Roman"/>
          <w:sz w:val="28"/>
        </w:rPr>
      </w:pPr>
    </w:p>
    <w:p w14:paraId="8F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Методика оценки эффективности реализации</w:t>
      </w:r>
    </w:p>
    <w:p w14:paraId="90000000">
      <w:pPr>
        <w:pStyle w:val="Style_3"/>
        <w:widowControl w:val="0"/>
        <w:ind w:firstLine="0" w:left="106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91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</w:p>
    <w:p w14:paraId="92000000">
      <w:pPr>
        <w:widowControl w:val="0"/>
        <w:tabs>
          <w:tab w:leader="none" w:pos="709" w:val="left"/>
        </w:tabs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Методика оценки эффективности реализации муниципальной программы осуществляется в соответствии с </w:t>
      </w:r>
      <w:r>
        <w:rPr>
          <w:rFonts w:ascii="FreeSerif" w:hAnsi="FreeSerif"/>
          <w:sz w:val="28"/>
        </w:rPr>
        <w:t>т</w:t>
      </w:r>
      <w:r>
        <w:rPr>
          <w:rFonts w:ascii="FreeSerif" w:hAnsi="FreeSerif"/>
          <w:sz w:val="28"/>
        </w:rPr>
        <w:t>иповой методикой оценки эффективности реализации муниципальной программы</w:t>
      </w:r>
      <w:r>
        <w:rPr>
          <w:rFonts w:ascii="FreeSerif" w:hAnsi="FreeSerif"/>
          <w:sz w:val="28"/>
        </w:rPr>
        <w:t xml:space="preserve">, утвержденной </w:t>
      </w:r>
      <w:r>
        <w:rPr>
          <w:rFonts w:ascii="FreeSerif" w:hAnsi="FreeSerif"/>
          <w:sz w:val="28"/>
        </w:rPr>
        <w:t xml:space="preserve">постановлением администрации муниципального образования </w:t>
      </w:r>
      <w:r>
        <w:rPr>
          <w:rFonts w:ascii="FreeSerif" w:hAnsi="FreeSerif"/>
          <w:sz w:val="28"/>
        </w:rPr>
        <w:t xml:space="preserve">Ленинградский район </w:t>
      </w:r>
      <w:r>
        <w:rPr>
          <w:rFonts w:ascii="FreeSerif" w:hAnsi="FreeSerif"/>
          <w:sz w:val="28"/>
        </w:rPr>
        <w:t>от 10</w:t>
      </w:r>
      <w:r>
        <w:rPr>
          <w:rFonts w:ascii="FreeSerif" w:hAnsi="FreeSerif"/>
          <w:sz w:val="28"/>
        </w:rPr>
        <w:t xml:space="preserve"> декабря</w:t>
      </w:r>
      <w:r>
        <w:rPr>
          <w:rFonts w:ascii="FreeSerif" w:hAnsi="FreeSerif"/>
          <w:sz w:val="28"/>
        </w:rPr>
        <w:t xml:space="preserve"> 20</w:t>
      </w:r>
      <w:r>
        <w:rPr>
          <w:rFonts w:ascii="FreeSerif" w:hAnsi="FreeSerif"/>
          <w:sz w:val="28"/>
        </w:rPr>
        <w:t>24</w:t>
      </w:r>
      <w:r>
        <w:rPr>
          <w:rFonts w:ascii="FreeSerif" w:hAnsi="FreeSerif"/>
          <w:sz w:val="28"/>
        </w:rPr>
        <w:t xml:space="preserve"> г.</w:t>
      </w:r>
      <w:r>
        <w:rPr>
          <w:rFonts w:ascii="FreeSerif" w:hAnsi="FreeSerif"/>
          <w:sz w:val="28"/>
        </w:rPr>
        <w:t xml:space="preserve"> № </w:t>
      </w:r>
      <w:r>
        <w:rPr>
          <w:rFonts w:ascii="FreeSerif" w:hAnsi="FreeSerif"/>
          <w:sz w:val="28"/>
        </w:rPr>
        <w:t>1352</w:t>
      </w:r>
      <w:r>
        <w:rPr>
          <w:rFonts w:ascii="FreeSerif" w:hAnsi="FreeSerif"/>
          <w:sz w:val="28"/>
        </w:rPr>
        <w:t xml:space="preserve"> «О системе управления муниципальными программами муниципального образования Ленинградский муниципальный округ Краснодарского края</w:t>
      </w:r>
      <w:r>
        <w:rPr>
          <w:rFonts w:ascii="FreeSerif" w:hAnsi="FreeSerif"/>
          <w:sz w:val="28"/>
        </w:rPr>
        <w:t>»</w:t>
      </w:r>
      <w:r>
        <w:rPr>
          <w:rFonts w:ascii="FreeSerif" w:hAnsi="FreeSerif"/>
          <w:sz w:val="28"/>
        </w:rPr>
        <w:t>.</w:t>
      </w:r>
    </w:p>
    <w:p w14:paraId="93000000">
      <w:pPr>
        <w:widowControl w:val="0"/>
        <w:tabs>
          <w:tab w:leader="none" w:pos="709" w:val="left"/>
        </w:tabs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Методика оценки эффективности реализации муниципальной программы основывается на прин</w:t>
      </w:r>
      <w:r>
        <w:rPr>
          <w:rFonts w:ascii="FreeSerif" w:hAnsi="FreeSerif"/>
          <w:sz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94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</w:p>
    <w:p w14:paraId="95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Механизм реализации муниципальной</w:t>
      </w:r>
    </w:p>
    <w:p w14:paraId="96000000">
      <w:pPr>
        <w:pStyle w:val="Style_3"/>
        <w:widowControl w:val="0"/>
        <w:ind w:firstLine="0" w:left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программы и контроль за ее выполнением</w:t>
      </w:r>
    </w:p>
    <w:p w14:paraId="97000000">
      <w:pPr>
        <w:ind w:firstLine="567" w:left="0"/>
        <w:rPr>
          <w:rFonts w:ascii="Times New Roman" w:hAnsi="Times New Roman"/>
          <w:sz w:val="28"/>
        </w:rPr>
      </w:pPr>
    </w:p>
    <w:p w14:paraId="98000000">
      <w:pPr>
        <w:ind w:firstLine="680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</w:t>
      </w:r>
      <w:r>
        <w:rPr>
          <w:rFonts w:ascii="FreeSerif" w:hAnsi="FreeSerif"/>
          <w:sz w:val="28"/>
        </w:rPr>
        <w:t>от 10</w:t>
      </w:r>
      <w:r>
        <w:rPr>
          <w:rFonts w:ascii="FreeSerif" w:hAnsi="FreeSerif"/>
          <w:sz w:val="28"/>
        </w:rPr>
        <w:t xml:space="preserve"> декабря</w:t>
      </w:r>
      <w:r>
        <w:rPr>
          <w:rFonts w:ascii="FreeSerif" w:hAnsi="FreeSerif"/>
          <w:sz w:val="28"/>
        </w:rPr>
        <w:t xml:space="preserve"> 20</w:t>
      </w:r>
      <w:r>
        <w:rPr>
          <w:rFonts w:ascii="FreeSerif" w:hAnsi="FreeSerif"/>
          <w:sz w:val="28"/>
        </w:rPr>
        <w:t>24</w:t>
      </w:r>
      <w:r>
        <w:rPr>
          <w:rFonts w:ascii="FreeSerif" w:hAnsi="FreeSerif"/>
          <w:sz w:val="28"/>
        </w:rPr>
        <w:t xml:space="preserve"> г.</w:t>
      </w:r>
      <w:r>
        <w:rPr>
          <w:rFonts w:ascii="FreeSerif" w:hAnsi="FreeSerif"/>
          <w:sz w:val="28"/>
        </w:rPr>
        <w:t xml:space="preserve"> № </w:t>
      </w:r>
      <w:r>
        <w:rPr>
          <w:rFonts w:ascii="FreeSerif" w:hAnsi="FreeSerif"/>
          <w:sz w:val="28"/>
        </w:rPr>
        <w:t>1352</w:t>
      </w:r>
      <w:r>
        <w:rPr>
          <w:rFonts w:ascii="FreeSerif" w:hAnsi="FreeSerif"/>
          <w:sz w:val="28"/>
        </w:rPr>
        <w:t xml:space="preserve"> «О системе управления муниципальными программами муниципального образования Ленинградский муниципальный округ Краснодарского края</w:t>
      </w:r>
      <w:r>
        <w:rPr>
          <w:rFonts w:ascii="FreeSerif" w:hAnsi="FreeSerif"/>
          <w:sz w:val="28"/>
        </w:rPr>
        <w:t>»</w:t>
      </w:r>
      <w:r>
        <w:rPr>
          <w:rFonts w:ascii="FreeSerif" w:hAnsi="FreeSerif"/>
          <w:sz w:val="28"/>
        </w:rPr>
        <w:t>.</w:t>
      </w:r>
    </w:p>
    <w:p w14:paraId="99000000">
      <w:pPr>
        <w:tabs>
          <w:tab w:leader="none" w:pos="851" w:val="left"/>
        </w:tabs>
        <w:ind w:firstLine="567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Реализация программы предполагает:</w:t>
      </w:r>
    </w:p>
    <w:p w14:paraId="9A000000">
      <w:pPr>
        <w:ind w:firstLine="680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1) закупку товаров, работ и услуг для муниципальных нужд в соответствии с Федеральн</w:t>
      </w:r>
      <w:r>
        <w:rPr>
          <w:rFonts w:ascii="FreeSerif" w:hAnsi="FreeSerif"/>
          <w:sz w:val="28"/>
        </w:rPr>
        <w:t>ым законом от 5 апреля 2013 г.</w:t>
      </w:r>
      <w:r>
        <w:rPr>
          <w:rFonts w:ascii="FreeSerif" w:hAnsi="FreeSerif"/>
          <w:sz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законодательством;</w:t>
      </w:r>
    </w:p>
    <w:p w14:paraId="9B000000">
      <w:pPr>
        <w:ind w:firstLine="680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2)</w:t>
      </w:r>
      <w:r>
        <w:rPr>
          <w:rFonts w:ascii="FreeSerif" w:hAnsi="FreeSerif"/>
          <w:sz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муниципальный округ Краснодарского края о бюджете муниципального образования Ленинградский округ на текущий финансовый год и на плановый период на указанные цели.</w:t>
      </w:r>
    </w:p>
    <w:p w14:paraId="9C000000">
      <w:pPr>
        <w:widowControl w:val="0"/>
        <w:ind w:firstLine="680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Оказание </w:t>
      </w:r>
      <w:r>
        <w:rPr>
          <w:rFonts w:ascii="FreeSerif" w:hAnsi="FreeSerif"/>
          <w:sz w:val="28"/>
        </w:rPr>
        <w:t>консультационной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поддержки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субъектов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малого и среднего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предпринимательства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осуществля</w:t>
      </w:r>
      <w:r>
        <w:rPr>
          <w:rFonts w:ascii="FreeSerif" w:hAnsi="FreeSerif"/>
          <w:sz w:val="28"/>
        </w:rPr>
        <w:t>ется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отделом экономики администрации муниципального образования Ленинградский муниципальный округ Краснодарского края, </w:t>
      </w:r>
      <w:r>
        <w:rPr>
          <w:rFonts w:ascii="FreeSerif" w:hAnsi="FreeSerif"/>
          <w:sz w:val="28"/>
        </w:rPr>
        <w:t>центром поддержки предпринимательства по Ленинградскому округу в лице специалиста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муниципального казенного учреждения «Централизованная межотраслевая бухгалтерия» муниципального образования Ленинградский муниципальный округ Краснодарского края</w:t>
      </w:r>
      <w:r>
        <w:rPr>
          <w:rFonts w:ascii="FreeSerif" w:hAnsi="FreeSerif"/>
          <w:sz w:val="28"/>
        </w:rPr>
        <w:t xml:space="preserve"> безвозмездно</w:t>
      </w:r>
      <w:r>
        <w:rPr>
          <w:rFonts w:ascii="FreeSerif" w:hAnsi="FreeSerif"/>
          <w:sz w:val="28"/>
        </w:rPr>
        <w:t>.</w:t>
      </w:r>
    </w:p>
    <w:p w14:paraId="9D000000">
      <w:pPr>
        <w:widowControl w:val="0"/>
        <w:ind w:firstLine="680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>
        <w:rPr>
          <w:rFonts w:ascii="FreeSerif" w:hAnsi="FreeSerif"/>
          <w:sz w:val="28"/>
        </w:rPr>
        <w:t>ного закона от 24 июля 2007 г.</w:t>
      </w:r>
      <w:r>
        <w:rPr>
          <w:rFonts w:ascii="FreeSerif" w:hAnsi="FreeSerif"/>
          <w:sz w:val="28"/>
        </w:rPr>
        <w:t xml:space="preserve"> № 209-ФЗ «О развитии малого и среднего предпринимательства в Российской Федерации».</w:t>
      </w:r>
    </w:p>
    <w:p w14:paraId="9E000000">
      <w:pPr>
        <w:widowControl w:val="0"/>
        <w:ind w:firstLine="680" w:left="0"/>
        <w:rPr>
          <w:rFonts w:ascii="FreeSerif" w:hAnsi="FreeSerif"/>
          <w:sz w:val="28"/>
        </w:rPr>
      </w:pPr>
    </w:p>
    <w:p w14:paraId="9F000000">
      <w:pPr>
        <w:widowControl w:val="0"/>
        <w:ind w:firstLine="680" w:left="0"/>
        <w:rPr>
          <w:rFonts w:ascii="FreeSerif" w:hAnsi="FreeSerif"/>
          <w:sz w:val="28"/>
        </w:rPr>
      </w:pPr>
    </w:p>
    <w:p w14:paraId="A0000000">
      <w:pPr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Исполняющий обязанности начальника</w:t>
      </w:r>
    </w:p>
    <w:p w14:paraId="A1000000">
      <w:pPr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отдела экономики </w:t>
      </w:r>
      <w:r>
        <w:rPr>
          <w:rFonts w:ascii="FreeSerif" w:hAnsi="FreeSerif"/>
          <w:sz w:val="28"/>
        </w:rPr>
        <w:t xml:space="preserve">администрации </w:t>
      </w:r>
    </w:p>
    <w:p w14:paraId="A2000000">
      <w:pPr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Ленинградского муниципального округа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Д.В. Андрющенко</w:t>
      </w:r>
    </w:p>
    <w:p w14:paraId="A3000000">
      <w:pPr>
        <w:widowControl w:val="0"/>
        <w:ind/>
        <w:rPr>
          <w:rFonts w:ascii="FreeSerif" w:hAnsi="FreeSerif"/>
          <w:sz w:val="28"/>
        </w:rPr>
      </w:pPr>
    </w:p>
    <w:sectPr>
      <w:headerReference r:id="rId1" w:type="default"/>
      <w:pgSz w:h="16838" w:orient="portrait" w:w="11905"/>
      <w:pgMar w:bottom="1389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4677" w:val="clear"/>
      </w:tabs>
      <w:ind w:firstLine="4248" w:left="0"/>
    </w:pPr>
    <w:r>
      <w:t xml:space="preserve">        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709" w:left="0" w:right="0"/>
        <w:jc w:val="both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Normal (Web)"/>
    <w:basedOn w:val="Style_4"/>
    <w:link w:val="Style_11_ch"/>
    <w:rPr>
      <w:rFonts w:ascii="Times New Roman" w:hAnsi="Times New Roman"/>
      <w:sz w:val="24"/>
    </w:rPr>
  </w:style>
  <w:style w:styleId="Style_11_ch" w:type="character">
    <w:name w:val="Normal (Web)"/>
    <w:basedOn w:val="Style_4_ch"/>
    <w:link w:val="Style_11"/>
    <w:rPr>
      <w:rFonts w:ascii="Times New Roman" w:hAnsi="Times New Roman"/>
      <w:sz w:val="24"/>
    </w:rPr>
  </w:style>
  <w:style w:styleId="Style_12" w:type="paragraph">
    <w:name w:val="ConsPlusNonformat"/>
    <w:link w:val="Style_12_ch"/>
    <w:pPr>
      <w:widowControl w:val="0"/>
      <w:ind w:firstLine="0" w:left="0"/>
      <w:jc w:val="left"/>
    </w:pPr>
    <w:rPr>
      <w:rFonts w:ascii="Courier New" w:hAnsi="Courier New"/>
      <w:sz w:val="20"/>
    </w:rPr>
  </w:style>
  <w:style w:styleId="Style_12_ch" w:type="character">
    <w:name w:val="ConsPlusNonformat"/>
    <w:link w:val="Style_12"/>
    <w:rPr>
      <w:rFonts w:ascii="Courier New" w:hAnsi="Courier New"/>
      <w:sz w:val="20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Balloon Text"/>
    <w:basedOn w:val="Style_4"/>
    <w:link w:val="Style_14_ch"/>
    <w:rPr>
      <w:rFonts w:ascii="Segoe UI" w:hAnsi="Segoe UI"/>
      <w:sz w:val="18"/>
    </w:rPr>
  </w:style>
  <w:style w:styleId="Style_14_ch" w:type="character">
    <w:name w:val="Balloon Text"/>
    <w:basedOn w:val="Style_4_ch"/>
    <w:link w:val="Style_14"/>
    <w:rPr>
      <w:rFonts w:ascii="Segoe UI" w:hAnsi="Segoe UI"/>
      <w:sz w:val="18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basedOn w:val="Style_18"/>
    <w:link w:val="Style_17_ch"/>
    <w:rPr>
      <w:color w:themeColor="hyperlink" w:val="0000FF"/>
      <w:u w:val="single"/>
    </w:rPr>
  </w:style>
  <w:style w:styleId="Style_17_ch" w:type="character">
    <w:name w:val="Hyperlink"/>
    <w:basedOn w:val="Style_18_ch"/>
    <w:link w:val="Style_17"/>
    <w:rPr>
      <w:color w:themeColor="hyperlink"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apple-converted-space"/>
    <w:basedOn w:val="Style_18"/>
    <w:link w:val="Style_24_ch"/>
  </w:style>
  <w:style w:styleId="Style_24_ch" w:type="character">
    <w:name w:val="apple-converted-space"/>
    <w:basedOn w:val="Style_18_ch"/>
    <w:link w:val="Style_24"/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25" w:type="paragraph">
    <w:name w:val="footer"/>
    <w:basedOn w:val="Style_4"/>
    <w:link w:val="Style_25_ch"/>
    <w:pPr>
      <w:tabs>
        <w:tab w:leader="none" w:pos="4677" w:val="center"/>
        <w:tab w:leader="none" w:pos="9355" w:val="right"/>
      </w:tabs>
      <w:ind/>
    </w:pPr>
  </w:style>
  <w:style w:styleId="Style_25_ch" w:type="character">
    <w:name w:val="footer"/>
    <w:basedOn w:val="Style_4_ch"/>
    <w:link w:val="Style_25"/>
  </w:style>
  <w:style w:styleId="Style_26" w:type="paragraph">
    <w:name w:val="msolistparagraph_mailru_css_attribute_postfix"/>
    <w:basedOn w:val="Style_4"/>
    <w:link w:val="Style_26_ch"/>
    <w:pPr>
      <w:spacing w:afterAutospacing="on" w:beforeAutospacing="on"/>
      <w:ind w:firstLine="0" w:left="0"/>
      <w:jc w:val="left"/>
    </w:pPr>
    <w:rPr>
      <w:rFonts w:ascii="Times New Roman" w:hAnsi="Times New Roman"/>
      <w:sz w:val="24"/>
    </w:rPr>
  </w:style>
  <w:style w:styleId="Style_26_ch" w:type="character">
    <w:name w:val="msolistparagraph_mailru_css_attribute_postfix"/>
    <w:basedOn w:val="Style_4_ch"/>
    <w:link w:val="Style_26"/>
    <w:rPr>
      <w:rFonts w:ascii="Times New Roman" w:hAnsi="Times New Roman"/>
      <w:sz w:val="24"/>
    </w:rPr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ConsPlusCell"/>
    <w:link w:val="Style_28_ch"/>
    <w:pPr>
      <w:widowControl w:val="0"/>
      <w:ind w:firstLine="0" w:left="0"/>
      <w:jc w:val="left"/>
    </w:pPr>
    <w:rPr>
      <w:rFonts w:ascii="Calibri" w:hAnsi="Calibri"/>
    </w:rPr>
  </w:style>
  <w:style w:styleId="Style_28_ch" w:type="character">
    <w:name w:val="ConsPlusCell"/>
    <w:link w:val="Style_28"/>
    <w:rPr>
      <w:rFonts w:ascii="Calibri" w:hAnsi="Calibri"/>
    </w:rPr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4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4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33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2025-11-19T14:31:02Z</dcterms:modified>
</cp:coreProperties>
</file>